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0199" w14:textId="77777777" w:rsidR="00410CD6" w:rsidRDefault="00E04373">
      <w:pPr>
        <w:pStyle w:val="Title"/>
        <w:jc w:val="center"/>
      </w:pPr>
      <w:bookmarkStart w:id="0" w:name="_a487qya92q3q" w:colFirst="0" w:colLast="0"/>
      <w:bookmarkStart w:id="1" w:name="_GoBack"/>
      <w:bookmarkEnd w:id="0"/>
      <w:r>
        <w:t>Basic Learning Module Proposal: A Basic Syllabus</w:t>
      </w:r>
      <w:bookmarkEnd w:id="1"/>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600"/>
      </w:tblGrid>
      <w:tr w:rsidR="00410CD6" w14:paraId="33D96F57" w14:textId="77777777">
        <w:tc>
          <w:tcPr>
            <w:tcW w:w="2760" w:type="dxa"/>
            <w:shd w:val="clear" w:color="auto" w:fill="auto"/>
            <w:tcMar>
              <w:top w:w="100" w:type="dxa"/>
              <w:left w:w="100" w:type="dxa"/>
              <w:bottom w:w="100" w:type="dxa"/>
              <w:right w:w="100" w:type="dxa"/>
            </w:tcMar>
          </w:tcPr>
          <w:p w14:paraId="361C2F70" w14:textId="77777777" w:rsidR="00410CD6" w:rsidRDefault="00E04373">
            <w:pPr>
              <w:spacing w:line="240" w:lineRule="auto"/>
              <w:rPr>
                <w:sz w:val="20"/>
                <w:szCs w:val="20"/>
              </w:rPr>
            </w:pPr>
            <w:r>
              <w:rPr>
                <w:sz w:val="20"/>
                <w:szCs w:val="20"/>
              </w:rPr>
              <w:t>Title</w:t>
            </w:r>
          </w:p>
        </w:tc>
        <w:tc>
          <w:tcPr>
            <w:tcW w:w="6600" w:type="dxa"/>
            <w:shd w:val="clear" w:color="auto" w:fill="auto"/>
            <w:tcMar>
              <w:top w:w="100" w:type="dxa"/>
              <w:left w:w="100" w:type="dxa"/>
              <w:bottom w:w="100" w:type="dxa"/>
              <w:right w:w="100" w:type="dxa"/>
            </w:tcMar>
          </w:tcPr>
          <w:p w14:paraId="7254A20B" w14:textId="77777777" w:rsidR="00410CD6" w:rsidRDefault="00E04373">
            <w:pPr>
              <w:widowControl w:val="0"/>
              <w:spacing w:line="240" w:lineRule="auto"/>
              <w:rPr>
                <w:sz w:val="20"/>
                <w:szCs w:val="20"/>
              </w:rPr>
            </w:pPr>
            <w:r>
              <w:rPr>
                <w:sz w:val="20"/>
                <w:szCs w:val="20"/>
              </w:rPr>
              <w:t xml:space="preserve">&lt;see description below </w:t>
            </w:r>
            <w:proofErr w:type="spellStart"/>
            <w:r>
              <w:rPr>
                <w:sz w:val="20"/>
                <w:szCs w:val="20"/>
              </w:rPr>
              <w:t>i</w:t>
            </w:r>
            <w:proofErr w:type="spellEnd"/>
            <w:r>
              <w:rPr>
                <w:sz w:val="20"/>
                <w:szCs w:val="20"/>
              </w:rPr>
              <w:t>&gt;</w:t>
            </w:r>
          </w:p>
        </w:tc>
      </w:tr>
      <w:tr w:rsidR="00410CD6" w14:paraId="4A17EAC1" w14:textId="77777777">
        <w:trPr>
          <w:trHeight w:val="1520"/>
        </w:trPr>
        <w:tc>
          <w:tcPr>
            <w:tcW w:w="2760" w:type="dxa"/>
            <w:shd w:val="clear" w:color="auto" w:fill="auto"/>
            <w:tcMar>
              <w:top w:w="100" w:type="dxa"/>
              <w:left w:w="100" w:type="dxa"/>
              <w:bottom w:w="100" w:type="dxa"/>
              <w:right w:w="100" w:type="dxa"/>
            </w:tcMar>
          </w:tcPr>
          <w:p w14:paraId="37913373" w14:textId="77777777" w:rsidR="00410CD6" w:rsidRDefault="00E04373">
            <w:pPr>
              <w:spacing w:line="240" w:lineRule="auto"/>
              <w:rPr>
                <w:sz w:val="20"/>
                <w:szCs w:val="20"/>
              </w:rPr>
            </w:pPr>
            <w:r>
              <w:rPr>
                <w:sz w:val="20"/>
                <w:szCs w:val="20"/>
              </w:rPr>
              <w:t>Description</w:t>
            </w:r>
          </w:p>
        </w:tc>
        <w:tc>
          <w:tcPr>
            <w:tcW w:w="6600" w:type="dxa"/>
            <w:shd w:val="clear" w:color="auto" w:fill="auto"/>
            <w:tcMar>
              <w:top w:w="100" w:type="dxa"/>
              <w:left w:w="100" w:type="dxa"/>
              <w:bottom w:w="100" w:type="dxa"/>
              <w:right w:w="100" w:type="dxa"/>
            </w:tcMar>
          </w:tcPr>
          <w:p w14:paraId="586F8A42" w14:textId="77777777" w:rsidR="00410CD6" w:rsidRDefault="00E04373">
            <w:pPr>
              <w:widowControl w:val="0"/>
              <w:spacing w:line="240" w:lineRule="auto"/>
              <w:rPr>
                <w:sz w:val="20"/>
                <w:szCs w:val="20"/>
              </w:rPr>
            </w:pPr>
            <w:r>
              <w:rPr>
                <w:sz w:val="20"/>
                <w:szCs w:val="20"/>
              </w:rPr>
              <w:t>&lt;ii&gt;</w:t>
            </w:r>
          </w:p>
        </w:tc>
      </w:tr>
      <w:tr w:rsidR="00410CD6" w14:paraId="1648A04A" w14:textId="77777777">
        <w:trPr>
          <w:trHeight w:val="1520"/>
        </w:trPr>
        <w:tc>
          <w:tcPr>
            <w:tcW w:w="2760" w:type="dxa"/>
            <w:shd w:val="clear" w:color="auto" w:fill="auto"/>
            <w:tcMar>
              <w:top w:w="100" w:type="dxa"/>
              <w:left w:w="100" w:type="dxa"/>
              <w:bottom w:w="100" w:type="dxa"/>
              <w:right w:w="100" w:type="dxa"/>
            </w:tcMar>
          </w:tcPr>
          <w:p w14:paraId="1295D3B8" w14:textId="77777777" w:rsidR="00410CD6" w:rsidRDefault="00E04373">
            <w:pPr>
              <w:spacing w:line="240" w:lineRule="auto"/>
              <w:rPr>
                <w:sz w:val="20"/>
                <w:szCs w:val="20"/>
              </w:rPr>
            </w:pPr>
            <w:r>
              <w:rPr>
                <w:sz w:val="20"/>
                <w:szCs w:val="20"/>
              </w:rPr>
              <w:t>Domain and DIT Level</w:t>
            </w:r>
          </w:p>
        </w:tc>
        <w:tc>
          <w:tcPr>
            <w:tcW w:w="6600" w:type="dxa"/>
            <w:shd w:val="clear" w:color="auto" w:fill="auto"/>
            <w:tcMar>
              <w:top w:w="100" w:type="dxa"/>
              <w:left w:w="100" w:type="dxa"/>
              <w:bottom w:w="100" w:type="dxa"/>
              <w:right w:w="100" w:type="dxa"/>
            </w:tcMar>
          </w:tcPr>
          <w:p w14:paraId="18E7F903" w14:textId="77777777" w:rsidR="00410CD6" w:rsidRDefault="00E04373">
            <w:pPr>
              <w:widowControl w:val="0"/>
              <w:spacing w:line="240" w:lineRule="auto"/>
              <w:rPr>
                <w:sz w:val="20"/>
                <w:szCs w:val="20"/>
              </w:rPr>
            </w:pPr>
            <w:r>
              <w:rPr>
                <w:sz w:val="20"/>
                <w:szCs w:val="20"/>
              </w:rPr>
              <w:t>&lt;iii&gt;</w:t>
            </w:r>
          </w:p>
        </w:tc>
      </w:tr>
      <w:tr w:rsidR="00410CD6" w14:paraId="536C4A35" w14:textId="77777777">
        <w:trPr>
          <w:trHeight w:val="1520"/>
        </w:trPr>
        <w:tc>
          <w:tcPr>
            <w:tcW w:w="2760" w:type="dxa"/>
            <w:shd w:val="clear" w:color="auto" w:fill="auto"/>
            <w:tcMar>
              <w:top w:w="100" w:type="dxa"/>
              <w:left w:w="100" w:type="dxa"/>
              <w:bottom w:w="100" w:type="dxa"/>
              <w:right w:w="100" w:type="dxa"/>
            </w:tcMar>
          </w:tcPr>
          <w:p w14:paraId="7B39F332" w14:textId="77777777" w:rsidR="00410CD6" w:rsidRDefault="00E04373">
            <w:pPr>
              <w:spacing w:line="240" w:lineRule="auto"/>
              <w:rPr>
                <w:sz w:val="20"/>
                <w:szCs w:val="20"/>
              </w:rPr>
            </w:pPr>
            <w:r>
              <w:rPr>
                <w:sz w:val="20"/>
                <w:szCs w:val="20"/>
              </w:rPr>
              <w:t>Skills and Knowledge Category</w:t>
            </w:r>
          </w:p>
        </w:tc>
        <w:tc>
          <w:tcPr>
            <w:tcW w:w="6600" w:type="dxa"/>
            <w:shd w:val="clear" w:color="auto" w:fill="auto"/>
            <w:tcMar>
              <w:top w:w="100" w:type="dxa"/>
              <w:left w:w="100" w:type="dxa"/>
              <w:bottom w:w="100" w:type="dxa"/>
              <w:right w:w="100" w:type="dxa"/>
            </w:tcMar>
          </w:tcPr>
          <w:p w14:paraId="7933CDD5" w14:textId="77777777" w:rsidR="00410CD6" w:rsidRDefault="00E04373">
            <w:pPr>
              <w:widowControl w:val="0"/>
              <w:spacing w:line="240" w:lineRule="auto"/>
              <w:rPr>
                <w:sz w:val="20"/>
                <w:szCs w:val="20"/>
              </w:rPr>
            </w:pPr>
            <w:r>
              <w:rPr>
                <w:sz w:val="20"/>
                <w:szCs w:val="20"/>
              </w:rPr>
              <w:t>&lt;iv&gt;</w:t>
            </w:r>
          </w:p>
        </w:tc>
      </w:tr>
      <w:tr w:rsidR="00410CD6" w14:paraId="6E06BD2D" w14:textId="77777777">
        <w:trPr>
          <w:trHeight w:val="1520"/>
        </w:trPr>
        <w:tc>
          <w:tcPr>
            <w:tcW w:w="2760" w:type="dxa"/>
            <w:shd w:val="clear" w:color="auto" w:fill="auto"/>
            <w:tcMar>
              <w:top w:w="100" w:type="dxa"/>
              <w:left w:w="100" w:type="dxa"/>
              <w:bottom w:w="100" w:type="dxa"/>
              <w:right w:w="100" w:type="dxa"/>
            </w:tcMar>
          </w:tcPr>
          <w:p w14:paraId="7C67A765" w14:textId="77777777" w:rsidR="00410CD6" w:rsidRDefault="00E04373">
            <w:pPr>
              <w:spacing w:line="240" w:lineRule="auto"/>
              <w:rPr>
                <w:sz w:val="20"/>
                <w:szCs w:val="20"/>
              </w:rPr>
            </w:pPr>
            <w:r>
              <w:rPr>
                <w:sz w:val="20"/>
                <w:szCs w:val="20"/>
              </w:rPr>
              <w:t>Intended Learning Outcomes</w:t>
            </w:r>
          </w:p>
        </w:tc>
        <w:tc>
          <w:tcPr>
            <w:tcW w:w="6600" w:type="dxa"/>
            <w:shd w:val="clear" w:color="auto" w:fill="auto"/>
            <w:tcMar>
              <w:top w:w="100" w:type="dxa"/>
              <w:left w:w="100" w:type="dxa"/>
              <w:bottom w:w="100" w:type="dxa"/>
              <w:right w:w="100" w:type="dxa"/>
            </w:tcMar>
          </w:tcPr>
          <w:p w14:paraId="2F8DCD38" w14:textId="77777777" w:rsidR="00410CD6" w:rsidRDefault="00E04373">
            <w:pPr>
              <w:widowControl w:val="0"/>
              <w:spacing w:line="240" w:lineRule="auto"/>
              <w:rPr>
                <w:sz w:val="20"/>
                <w:szCs w:val="20"/>
              </w:rPr>
            </w:pPr>
            <w:r>
              <w:rPr>
                <w:sz w:val="20"/>
                <w:szCs w:val="20"/>
              </w:rPr>
              <w:t>&lt;v&gt;</w:t>
            </w:r>
          </w:p>
        </w:tc>
      </w:tr>
      <w:tr w:rsidR="00410CD6" w14:paraId="7307577A" w14:textId="77777777">
        <w:trPr>
          <w:trHeight w:val="1520"/>
        </w:trPr>
        <w:tc>
          <w:tcPr>
            <w:tcW w:w="2760" w:type="dxa"/>
            <w:shd w:val="clear" w:color="auto" w:fill="auto"/>
            <w:tcMar>
              <w:top w:w="100" w:type="dxa"/>
              <w:left w:w="100" w:type="dxa"/>
              <w:bottom w:w="100" w:type="dxa"/>
              <w:right w:w="100" w:type="dxa"/>
            </w:tcMar>
          </w:tcPr>
          <w:p w14:paraId="13944D67" w14:textId="77777777" w:rsidR="00410CD6" w:rsidRDefault="00E04373">
            <w:pPr>
              <w:spacing w:line="240" w:lineRule="auto"/>
              <w:rPr>
                <w:sz w:val="20"/>
                <w:szCs w:val="20"/>
              </w:rPr>
            </w:pPr>
            <w:r>
              <w:rPr>
                <w:sz w:val="20"/>
                <w:szCs w:val="20"/>
              </w:rPr>
              <w:t>Participant Activities</w:t>
            </w:r>
          </w:p>
        </w:tc>
        <w:tc>
          <w:tcPr>
            <w:tcW w:w="6600" w:type="dxa"/>
            <w:shd w:val="clear" w:color="auto" w:fill="auto"/>
            <w:tcMar>
              <w:top w:w="100" w:type="dxa"/>
              <w:left w:w="100" w:type="dxa"/>
              <w:bottom w:w="100" w:type="dxa"/>
              <w:right w:w="100" w:type="dxa"/>
            </w:tcMar>
          </w:tcPr>
          <w:p w14:paraId="3B6A2B2E" w14:textId="77777777" w:rsidR="00410CD6" w:rsidRDefault="00E04373">
            <w:pPr>
              <w:widowControl w:val="0"/>
              <w:spacing w:line="240" w:lineRule="auto"/>
              <w:rPr>
                <w:sz w:val="20"/>
                <w:szCs w:val="20"/>
              </w:rPr>
            </w:pPr>
            <w:r>
              <w:rPr>
                <w:sz w:val="20"/>
                <w:szCs w:val="20"/>
              </w:rPr>
              <w:t>&lt;vi&gt;</w:t>
            </w:r>
          </w:p>
        </w:tc>
      </w:tr>
      <w:tr w:rsidR="00410CD6" w14:paraId="027CB6E1" w14:textId="77777777">
        <w:trPr>
          <w:trHeight w:val="1520"/>
        </w:trPr>
        <w:tc>
          <w:tcPr>
            <w:tcW w:w="2760" w:type="dxa"/>
            <w:shd w:val="clear" w:color="auto" w:fill="auto"/>
            <w:tcMar>
              <w:top w:w="100" w:type="dxa"/>
              <w:left w:w="100" w:type="dxa"/>
              <w:bottom w:w="100" w:type="dxa"/>
              <w:right w:w="100" w:type="dxa"/>
            </w:tcMar>
          </w:tcPr>
          <w:p w14:paraId="7BB3E65E" w14:textId="77777777" w:rsidR="00410CD6" w:rsidRDefault="00E04373">
            <w:pPr>
              <w:spacing w:line="240" w:lineRule="auto"/>
              <w:rPr>
                <w:sz w:val="20"/>
                <w:szCs w:val="20"/>
              </w:rPr>
            </w:pPr>
            <w:r>
              <w:rPr>
                <w:sz w:val="20"/>
                <w:szCs w:val="20"/>
              </w:rPr>
              <w:t>Assessment of Student Proficiency</w:t>
            </w:r>
          </w:p>
        </w:tc>
        <w:tc>
          <w:tcPr>
            <w:tcW w:w="6600" w:type="dxa"/>
            <w:shd w:val="clear" w:color="auto" w:fill="auto"/>
            <w:tcMar>
              <w:top w:w="100" w:type="dxa"/>
              <w:left w:w="100" w:type="dxa"/>
              <w:bottom w:w="100" w:type="dxa"/>
              <w:right w:w="100" w:type="dxa"/>
            </w:tcMar>
          </w:tcPr>
          <w:p w14:paraId="3F999883" w14:textId="77777777" w:rsidR="00410CD6" w:rsidRDefault="00E04373">
            <w:pPr>
              <w:widowControl w:val="0"/>
              <w:spacing w:line="240" w:lineRule="auto"/>
              <w:rPr>
                <w:sz w:val="20"/>
                <w:szCs w:val="20"/>
              </w:rPr>
            </w:pPr>
            <w:r>
              <w:rPr>
                <w:sz w:val="20"/>
                <w:szCs w:val="20"/>
              </w:rPr>
              <w:t>&lt;vii&gt;</w:t>
            </w:r>
          </w:p>
        </w:tc>
      </w:tr>
      <w:tr w:rsidR="00410CD6" w14:paraId="722B2D11" w14:textId="77777777">
        <w:trPr>
          <w:trHeight w:val="1520"/>
        </w:trPr>
        <w:tc>
          <w:tcPr>
            <w:tcW w:w="2760" w:type="dxa"/>
            <w:shd w:val="clear" w:color="auto" w:fill="auto"/>
            <w:tcMar>
              <w:top w:w="100" w:type="dxa"/>
              <w:left w:w="100" w:type="dxa"/>
              <w:bottom w:w="100" w:type="dxa"/>
              <w:right w:w="100" w:type="dxa"/>
            </w:tcMar>
          </w:tcPr>
          <w:p w14:paraId="05808EB0" w14:textId="77777777" w:rsidR="00410CD6" w:rsidRDefault="00E04373">
            <w:pPr>
              <w:spacing w:line="240" w:lineRule="auto"/>
              <w:rPr>
                <w:sz w:val="20"/>
                <w:szCs w:val="20"/>
              </w:rPr>
            </w:pPr>
            <w:r>
              <w:rPr>
                <w:sz w:val="20"/>
                <w:szCs w:val="20"/>
              </w:rPr>
              <w:lastRenderedPageBreak/>
              <w:t>License Agreement</w:t>
            </w:r>
          </w:p>
        </w:tc>
        <w:tc>
          <w:tcPr>
            <w:tcW w:w="6600" w:type="dxa"/>
            <w:shd w:val="clear" w:color="auto" w:fill="auto"/>
            <w:tcMar>
              <w:top w:w="100" w:type="dxa"/>
              <w:left w:w="100" w:type="dxa"/>
              <w:bottom w:w="100" w:type="dxa"/>
              <w:right w:w="100" w:type="dxa"/>
            </w:tcMar>
          </w:tcPr>
          <w:p w14:paraId="2FEEAB37" w14:textId="77777777" w:rsidR="00410CD6" w:rsidRDefault="00E04373">
            <w:pPr>
              <w:widowControl w:val="0"/>
              <w:spacing w:line="240" w:lineRule="auto"/>
              <w:rPr>
                <w:sz w:val="20"/>
                <w:szCs w:val="20"/>
              </w:rPr>
            </w:pPr>
            <w:r>
              <w:rPr>
                <w:sz w:val="20"/>
                <w:szCs w:val="20"/>
              </w:rPr>
              <w:t>&lt;viii&gt;</w:t>
            </w:r>
          </w:p>
        </w:tc>
      </w:tr>
    </w:tbl>
    <w:p w14:paraId="7D6CDCCC" w14:textId="77777777" w:rsidR="00410CD6" w:rsidRDefault="00410CD6">
      <w:pPr>
        <w:spacing w:line="240" w:lineRule="auto"/>
        <w:ind w:left="360"/>
        <w:rPr>
          <w:sz w:val="20"/>
          <w:szCs w:val="20"/>
        </w:rPr>
      </w:pPr>
    </w:p>
    <w:p w14:paraId="545F6AD4" w14:textId="77777777" w:rsidR="00410CD6" w:rsidRDefault="00E04373">
      <w:pPr>
        <w:numPr>
          <w:ilvl w:val="0"/>
          <w:numId w:val="1"/>
        </w:numPr>
        <w:spacing w:line="240" w:lineRule="auto"/>
        <w:rPr>
          <w:sz w:val="20"/>
          <w:szCs w:val="20"/>
        </w:rPr>
      </w:pPr>
      <w:r>
        <w:rPr>
          <w:sz w:val="20"/>
          <w:szCs w:val="20"/>
        </w:rPr>
        <w:t>Brief title for learning module.</w:t>
      </w:r>
    </w:p>
    <w:p w14:paraId="6B92366F" w14:textId="77777777" w:rsidR="00410CD6" w:rsidRDefault="00E04373">
      <w:pPr>
        <w:numPr>
          <w:ilvl w:val="0"/>
          <w:numId w:val="1"/>
        </w:numPr>
        <w:spacing w:line="240" w:lineRule="auto"/>
        <w:rPr>
          <w:sz w:val="20"/>
          <w:szCs w:val="20"/>
        </w:rPr>
      </w:pPr>
      <w:r>
        <w:rPr>
          <w:sz w:val="20"/>
          <w:szCs w:val="20"/>
        </w:rPr>
        <w:t xml:space="preserve">Suggested 200 words or less. </w:t>
      </w:r>
    </w:p>
    <w:p w14:paraId="633F1DFC" w14:textId="77777777" w:rsidR="00410CD6" w:rsidRDefault="00E04373">
      <w:pPr>
        <w:numPr>
          <w:ilvl w:val="0"/>
          <w:numId w:val="1"/>
        </w:numPr>
        <w:spacing w:line="240" w:lineRule="auto"/>
        <w:rPr>
          <w:sz w:val="20"/>
          <w:szCs w:val="20"/>
        </w:rPr>
      </w:pPr>
      <w:r>
        <w:rPr>
          <w:sz w:val="20"/>
          <w:szCs w:val="20"/>
        </w:rPr>
        <w:t xml:space="preserve">Refer to Table of Domains and Associated Skills &amp; Knowledge. </w:t>
      </w:r>
    </w:p>
    <w:p w14:paraId="076E287D" w14:textId="77777777" w:rsidR="00410CD6" w:rsidRDefault="00E04373">
      <w:pPr>
        <w:numPr>
          <w:ilvl w:val="0"/>
          <w:numId w:val="1"/>
        </w:numPr>
        <w:spacing w:line="240" w:lineRule="auto"/>
        <w:rPr>
          <w:sz w:val="20"/>
          <w:szCs w:val="20"/>
        </w:rPr>
      </w:pPr>
      <w:r>
        <w:rPr>
          <w:sz w:val="20"/>
          <w:szCs w:val="20"/>
        </w:rPr>
        <w:t xml:space="preserve">Refer to Table of Domains and Associated Skills &amp; Knowledge. </w:t>
      </w:r>
    </w:p>
    <w:p w14:paraId="2813F204" w14:textId="77777777" w:rsidR="00410CD6" w:rsidRDefault="00E04373">
      <w:pPr>
        <w:numPr>
          <w:ilvl w:val="0"/>
          <w:numId w:val="1"/>
        </w:numPr>
        <w:spacing w:line="240" w:lineRule="auto"/>
        <w:rPr>
          <w:sz w:val="20"/>
          <w:szCs w:val="20"/>
        </w:rPr>
      </w:pPr>
      <w:r>
        <w:rPr>
          <w:sz w:val="20"/>
          <w:szCs w:val="20"/>
        </w:rPr>
        <w:t>Suggested 3-5 learning outcomes. (Examples available upon request. Examples are derived from previous INFEWS-ER working meetings and the outcomes derived from within.)</w:t>
      </w:r>
    </w:p>
    <w:p w14:paraId="20385C8C" w14:textId="77777777" w:rsidR="00410CD6" w:rsidRDefault="00E04373">
      <w:pPr>
        <w:numPr>
          <w:ilvl w:val="0"/>
          <w:numId w:val="1"/>
        </w:numPr>
        <w:spacing w:line="240" w:lineRule="auto"/>
        <w:rPr>
          <w:sz w:val="20"/>
          <w:szCs w:val="20"/>
        </w:rPr>
      </w:pPr>
      <w:r>
        <w:rPr>
          <w:sz w:val="20"/>
          <w:szCs w:val="20"/>
        </w:rPr>
        <w:t xml:space="preserve">Suggested, but not limited to, about 2 weeks (18-24 hours per </w:t>
      </w:r>
      <w:proofErr w:type="gramStart"/>
      <w:r>
        <w:rPr>
          <w:sz w:val="20"/>
          <w:szCs w:val="20"/>
        </w:rPr>
        <w:t>person)  of</w:t>
      </w:r>
      <w:proofErr w:type="gramEnd"/>
      <w:r>
        <w:rPr>
          <w:sz w:val="20"/>
          <w:szCs w:val="20"/>
        </w:rPr>
        <w:t xml:space="preserve"> effort for a t</w:t>
      </w:r>
      <w:r>
        <w:rPr>
          <w:sz w:val="20"/>
          <w:szCs w:val="20"/>
        </w:rPr>
        <w:t>ypical group of graduate level students. Please be aware, at this early stage, we are flexible in learning module content and effort requirements.</w:t>
      </w:r>
    </w:p>
    <w:p w14:paraId="2D431936" w14:textId="77777777" w:rsidR="00410CD6" w:rsidRDefault="00E04373">
      <w:pPr>
        <w:numPr>
          <w:ilvl w:val="0"/>
          <w:numId w:val="1"/>
        </w:numPr>
        <w:spacing w:line="240" w:lineRule="auto"/>
        <w:rPr>
          <w:sz w:val="20"/>
          <w:szCs w:val="20"/>
        </w:rPr>
      </w:pPr>
      <w:r>
        <w:rPr>
          <w:sz w:val="20"/>
          <w:szCs w:val="20"/>
        </w:rPr>
        <w:t>Please specify how student completion/performance of the learning module will be assessed. This is presumably</w:t>
      </w:r>
      <w:r>
        <w:rPr>
          <w:sz w:val="20"/>
          <w:szCs w:val="20"/>
        </w:rPr>
        <w:t xml:space="preserve"> linked to participant activities.</w:t>
      </w:r>
    </w:p>
    <w:p w14:paraId="022B08DC" w14:textId="77777777" w:rsidR="00410CD6" w:rsidRDefault="00E04373">
      <w:pPr>
        <w:numPr>
          <w:ilvl w:val="0"/>
          <w:numId w:val="1"/>
        </w:numPr>
        <w:spacing w:line="240" w:lineRule="auto"/>
        <w:rPr>
          <w:sz w:val="20"/>
          <w:szCs w:val="20"/>
        </w:rPr>
      </w:pPr>
      <w:r>
        <w:rPr>
          <w:sz w:val="20"/>
          <w:szCs w:val="20"/>
        </w:rPr>
        <w:t>License Agreement: Please suggest a license agreement for your content. FEW Faculty Fellows are asked to grant an appropriate license to the INFEWS-ER project to use, copy, and revise the learning module. The Creative Com</w:t>
      </w:r>
      <w:r>
        <w:rPr>
          <w:sz w:val="20"/>
          <w:szCs w:val="20"/>
        </w:rPr>
        <w:t>mons </w:t>
      </w:r>
      <w:hyperlink r:id="rId5">
        <w:r>
          <w:rPr>
            <w:b/>
            <w:color w:val="0000FF"/>
            <w:sz w:val="20"/>
            <w:szCs w:val="20"/>
            <w:u w:val="single"/>
          </w:rPr>
          <w:t>Attribution 4.0 International (CC BY 4.0) </w:t>
        </w:r>
      </w:hyperlink>
      <w:r>
        <w:rPr>
          <w:sz w:val="20"/>
          <w:szCs w:val="20"/>
        </w:rPr>
        <w:t>is an example of such a license.</w:t>
      </w:r>
    </w:p>
    <w:p w14:paraId="47FF840A" w14:textId="77777777" w:rsidR="00410CD6" w:rsidRDefault="00410CD6">
      <w:pPr>
        <w:spacing w:line="240" w:lineRule="auto"/>
        <w:rPr>
          <w:rFonts w:ascii="Cambria" w:eastAsia="Cambria" w:hAnsi="Cambria" w:cs="Cambria"/>
          <w:sz w:val="24"/>
          <w:szCs w:val="24"/>
        </w:rPr>
      </w:pPr>
    </w:p>
    <w:tbl>
      <w:tblPr>
        <w:tblStyle w:val="a0"/>
        <w:tblW w:w="8891" w:type="dxa"/>
        <w:jc w:val="center"/>
        <w:tblLayout w:type="fixed"/>
        <w:tblLook w:val="0400" w:firstRow="0" w:lastRow="0" w:firstColumn="0" w:lastColumn="0" w:noHBand="0" w:noVBand="1"/>
      </w:tblPr>
      <w:tblGrid>
        <w:gridCol w:w="3120"/>
        <w:gridCol w:w="5771"/>
      </w:tblGrid>
      <w:tr w:rsidR="00410CD6" w14:paraId="3608E161" w14:textId="77777777">
        <w:trPr>
          <w:jc w:val="center"/>
        </w:trPr>
        <w:tc>
          <w:tcPr>
            <w:tcW w:w="8891" w:type="dxa"/>
            <w:gridSpan w:val="2"/>
            <w:shd w:val="clear" w:color="auto" w:fill="FFFFFF"/>
            <w:vAlign w:val="center"/>
          </w:tcPr>
          <w:p w14:paraId="30793C3E" w14:textId="77777777" w:rsidR="00410CD6" w:rsidRDefault="00E04373">
            <w:pPr>
              <w:spacing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Domains and Associated Skills &amp; Knowledge</w:t>
            </w:r>
          </w:p>
        </w:tc>
      </w:tr>
      <w:tr w:rsidR="00410CD6" w14:paraId="452AECDD" w14:textId="77777777">
        <w:trPr>
          <w:jc w:val="center"/>
        </w:trPr>
        <w:tc>
          <w:tcPr>
            <w:tcW w:w="3120" w:type="dxa"/>
            <w:tcBorders>
              <w:top w:val="single" w:sz="4" w:space="0" w:color="000000"/>
            </w:tcBorders>
            <w:shd w:val="clear" w:color="auto" w:fill="FFFFFF"/>
            <w:vAlign w:val="center"/>
          </w:tcPr>
          <w:p w14:paraId="0DBB0B53" w14:textId="77777777" w:rsidR="00410CD6" w:rsidRDefault="00E04373">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Domains (DIT Level) </w:t>
            </w:r>
            <w:hyperlink r:id="rId6" w:anchor="bookmark=id.30j0zll">
              <w:r>
                <w:rPr>
                  <w:rFonts w:ascii="Arial Narrow" w:eastAsia="Arial Narrow" w:hAnsi="Arial Narrow" w:cs="Arial Narrow"/>
                  <w:color w:val="008000"/>
                  <w:sz w:val="20"/>
                  <w:szCs w:val="20"/>
                </w:rPr>
                <w:t>*</w:t>
              </w:r>
            </w:hyperlink>
          </w:p>
        </w:tc>
        <w:tc>
          <w:tcPr>
            <w:tcW w:w="5771" w:type="dxa"/>
            <w:tcBorders>
              <w:top w:val="single" w:sz="4" w:space="0" w:color="000000"/>
            </w:tcBorders>
            <w:shd w:val="clear" w:color="auto" w:fill="FFFFFF"/>
            <w:vAlign w:val="center"/>
          </w:tcPr>
          <w:p w14:paraId="5BAE34C2" w14:textId="77777777" w:rsidR="00410CD6" w:rsidRDefault="00E04373">
            <w:pPr>
              <w:spacing w:line="240" w:lineRule="auto"/>
              <w:jc w:val="center"/>
              <w:rPr>
                <w:rFonts w:ascii="Arial Narrow" w:eastAsia="Arial Narrow" w:hAnsi="Arial Narrow" w:cs="Arial Narrow"/>
                <w:sz w:val="20"/>
                <w:szCs w:val="20"/>
              </w:rPr>
            </w:pPr>
            <w:r>
              <w:rPr>
                <w:rFonts w:ascii="Arial Narrow" w:eastAsia="Arial Narrow" w:hAnsi="Arial Narrow" w:cs="Arial Narrow"/>
                <w:sz w:val="20"/>
                <w:szCs w:val="20"/>
              </w:rPr>
              <w:t>Skills and Knowledge of Learning Module</w:t>
            </w:r>
          </w:p>
        </w:tc>
      </w:tr>
      <w:tr w:rsidR="00410CD6" w14:paraId="0A18F271" w14:textId="77777777">
        <w:trPr>
          <w:jc w:val="center"/>
        </w:trPr>
        <w:tc>
          <w:tcPr>
            <w:tcW w:w="3120" w:type="dxa"/>
            <w:shd w:val="clear" w:color="auto" w:fill="FFFFFF"/>
            <w:vAlign w:val="center"/>
          </w:tcPr>
          <w:p w14:paraId="1ACDB3D4"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Basic Skills and Knowledge Training (D)</w:t>
            </w:r>
          </w:p>
        </w:tc>
        <w:tc>
          <w:tcPr>
            <w:tcW w:w="5771" w:type="dxa"/>
            <w:shd w:val="clear" w:color="auto" w:fill="FFFFFF"/>
            <w:vAlign w:val="center"/>
          </w:tcPr>
          <w:p w14:paraId="607881D0"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Fundamentals of Computer Programming, Data Str</w:t>
            </w:r>
            <w:r>
              <w:rPr>
                <w:rFonts w:ascii="Arial Narrow" w:eastAsia="Arial Narrow" w:hAnsi="Arial Narrow" w:cs="Arial Narrow"/>
                <w:sz w:val="20"/>
                <w:szCs w:val="20"/>
              </w:rPr>
              <w:t>uctures, Statistics, Algorithms, and Food, Energy, and Water Disciplines</w:t>
            </w:r>
          </w:p>
        </w:tc>
      </w:tr>
      <w:tr w:rsidR="00410CD6" w14:paraId="2A3A2B15" w14:textId="77777777">
        <w:trPr>
          <w:jc w:val="center"/>
        </w:trPr>
        <w:tc>
          <w:tcPr>
            <w:tcW w:w="3120" w:type="dxa"/>
            <w:shd w:val="clear" w:color="auto" w:fill="FFFFFF"/>
            <w:vAlign w:val="center"/>
          </w:tcPr>
          <w:p w14:paraId="7A197F69"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Research Skills (D)</w:t>
            </w:r>
          </w:p>
        </w:tc>
        <w:tc>
          <w:tcPr>
            <w:tcW w:w="5771" w:type="dxa"/>
            <w:shd w:val="clear" w:color="auto" w:fill="FFFFFF"/>
            <w:vAlign w:val="center"/>
          </w:tcPr>
          <w:p w14:paraId="3F39DF59"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Analysis and Visualization, Geographic Information Systems, and Written/Oral Communication</w:t>
            </w:r>
          </w:p>
        </w:tc>
      </w:tr>
      <w:tr w:rsidR="00410CD6" w14:paraId="7A5CC58F" w14:textId="77777777">
        <w:trPr>
          <w:jc w:val="center"/>
        </w:trPr>
        <w:tc>
          <w:tcPr>
            <w:tcW w:w="3120" w:type="dxa"/>
            <w:shd w:val="clear" w:color="auto" w:fill="FFFFFF"/>
            <w:vAlign w:val="center"/>
          </w:tcPr>
          <w:p w14:paraId="14937EA0"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Project and Team-based Skills (I)</w:t>
            </w:r>
          </w:p>
        </w:tc>
        <w:tc>
          <w:tcPr>
            <w:tcW w:w="5771" w:type="dxa"/>
            <w:shd w:val="clear" w:color="auto" w:fill="FFFFFF"/>
            <w:vAlign w:val="center"/>
          </w:tcPr>
          <w:p w14:paraId="796D8A3A"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Team Building, Project Management, Identification of Roles, Leadership, Trust and Accountability, and Communication Skills</w:t>
            </w:r>
          </w:p>
        </w:tc>
      </w:tr>
      <w:tr w:rsidR="00410CD6" w14:paraId="4E3396BB" w14:textId="77777777">
        <w:trPr>
          <w:jc w:val="center"/>
        </w:trPr>
        <w:tc>
          <w:tcPr>
            <w:tcW w:w="3120" w:type="dxa"/>
            <w:shd w:val="clear" w:color="auto" w:fill="FFFFFF"/>
            <w:vAlign w:val="center"/>
          </w:tcPr>
          <w:p w14:paraId="5413EDC4"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Interdisciplinary Systems Thinking (I)</w:t>
            </w:r>
          </w:p>
        </w:tc>
        <w:tc>
          <w:tcPr>
            <w:tcW w:w="5771" w:type="dxa"/>
            <w:shd w:val="clear" w:color="auto" w:fill="FFFFFF"/>
            <w:vAlign w:val="center"/>
          </w:tcPr>
          <w:p w14:paraId="1B956AEC"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Complexity, Uncertainty, Risk, Dynamic Modeling, Synthesis and Analysis</w:t>
            </w:r>
          </w:p>
        </w:tc>
      </w:tr>
      <w:tr w:rsidR="00410CD6" w14:paraId="20B60530" w14:textId="77777777">
        <w:trPr>
          <w:jc w:val="center"/>
        </w:trPr>
        <w:tc>
          <w:tcPr>
            <w:tcW w:w="3120" w:type="dxa"/>
            <w:shd w:val="clear" w:color="auto" w:fill="FFFFFF"/>
            <w:vAlign w:val="center"/>
          </w:tcPr>
          <w:p w14:paraId="2C2A6A36"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Contextual Global Aw</w:t>
            </w:r>
            <w:r>
              <w:rPr>
                <w:rFonts w:ascii="Arial Narrow" w:eastAsia="Arial Narrow" w:hAnsi="Arial Narrow" w:cs="Arial Narrow"/>
                <w:sz w:val="20"/>
                <w:szCs w:val="20"/>
              </w:rPr>
              <w:t>areness (I)</w:t>
            </w:r>
          </w:p>
        </w:tc>
        <w:tc>
          <w:tcPr>
            <w:tcW w:w="5771" w:type="dxa"/>
            <w:shd w:val="clear" w:color="auto" w:fill="FFFFFF"/>
            <w:vAlign w:val="center"/>
          </w:tcPr>
          <w:p w14:paraId="72397121" w14:textId="77777777" w:rsidR="00410CD6" w:rsidRDefault="00E04373">
            <w:pPr>
              <w:spacing w:line="240" w:lineRule="auto"/>
              <w:rPr>
                <w:rFonts w:ascii="Arial Narrow" w:eastAsia="Arial Narrow" w:hAnsi="Arial Narrow" w:cs="Arial Narrow"/>
                <w:sz w:val="20"/>
                <w:szCs w:val="20"/>
              </w:rPr>
            </w:pPr>
            <w:bookmarkStart w:id="2" w:name="_gjdgxs" w:colFirst="0" w:colLast="0"/>
            <w:bookmarkEnd w:id="2"/>
            <w:r>
              <w:rPr>
                <w:rFonts w:ascii="Arial Narrow" w:eastAsia="Arial Narrow" w:hAnsi="Arial Narrow" w:cs="Arial Narrow"/>
                <w:sz w:val="20"/>
                <w:szCs w:val="20"/>
              </w:rPr>
              <w:t>Sustainability, Cultural Competency, and International Communication</w:t>
            </w:r>
          </w:p>
        </w:tc>
      </w:tr>
      <w:tr w:rsidR="00410CD6" w14:paraId="409BF9AC" w14:textId="77777777">
        <w:trPr>
          <w:jc w:val="center"/>
        </w:trPr>
        <w:tc>
          <w:tcPr>
            <w:tcW w:w="3120" w:type="dxa"/>
            <w:shd w:val="clear" w:color="auto" w:fill="FFFFFF"/>
            <w:vAlign w:val="center"/>
          </w:tcPr>
          <w:p w14:paraId="01F1C235"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Continuous Education (I, T)</w:t>
            </w:r>
          </w:p>
        </w:tc>
        <w:tc>
          <w:tcPr>
            <w:tcW w:w="5771" w:type="dxa"/>
            <w:shd w:val="clear" w:color="auto" w:fill="FFFFFF"/>
            <w:vAlign w:val="center"/>
          </w:tcPr>
          <w:p w14:paraId="32B40E79"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Programming Languages, Data Repositories and Management, and Mathematical Modeling Suites</w:t>
            </w:r>
          </w:p>
        </w:tc>
      </w:tr>
      <w:tr w:rsidR="00410CD6" w14:paraId="5AB90FBA" w14:textId="77777777">
        <w:trPr>
          <w:jc w:val="center"/>
        </w:trPr>
        <w:tc>
          <w:tcPr>
            <w:tcW w:w="3120" w:type="dxa"/>
            <w:tcBorders>
              <w:bottom w:val="single" w:sz="4" w:space="0" w:color="000000"/>
            </w:tcBorders>
            <w:shd w:val="clear" w:color="auto" w:fill="FFFFFF"/>
            <w:vAlign w:val="center"/>
          </w:tcPr>
          <w:p w14:paraId="3AC6116E"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Transdisciplinary Skills (T)</w:t>
            </w:r>
          </w:p>
        </w:tc>
        <w:tc>
          <w:tcPr>
            <w:tcW w:w="5771" w:type="dxa"/>
            <w:tcBorders>
              <w:bottom w:val="single" w:sz="4" w:space="0" w:color="000000"/>
            </w:tcBorders>
            <w:shd w:val="clear" w:color="auto" w:fill="FFFFFF"/>
            <w:vAlign w:val="center"/>
          </w:tcPr>
          <w:p w14:paraId="5B97698C"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Case Studies so FEW schola</w:t>
            </w:r>
            <w:r>
              <w:rPr>
                <w:rFonts w:ascii="Arial Narrow" w:eastAsia="Arial Narrow" w:hAnsi="Arial Narrow" w:cs="Arial Narrow"/>
                <w:sz w:val="20"/>
                <w:szCs w:val="20"/>
              </w:rPr>
              <w:t>rs may address/provide alternatives for societal issues in FEW resource management and output/conservation of resources.</w:t>
            </w:r>
          </w:p>
        </w:tc>
      </w:tr>
      <w:tr w:rsidR="00410CD6" w14:paraId="11D45D46" w14:textId="77777777">
        <w:trPr>
          <w:jc w:val="center"/>
        </w:trPr>
        <w:tc>
          <w:tcPr>
            <w:tcW w:w="8891" w:type="dxa"/>
            <w:gridSpan w:val="2"/>
            <w:shd w:val="clear" w:color="auto" w:fill="FFFFFF"/>
            <w:vAlign w:val="center"/>
          </w:tcPr>
          <w:p w14:paraId="089D33AE" w14:textId="77777777" w:rsidR="00410CD6" w:rsidRDefault="00E04373">
            <w:pPr>
              <w:spacing w:line="240" w:lineRule="auto"/>
              <w:rPr>
                <w:rFonts w:ascii="Arial Narrow" w:eastAsia="Arial Narrow" w:hAnsi="Arial Narrow" w:cs="Arial Narrow"/>
                <w:sz w:val="20"/>
                <w:szCs w:val="20"/>
              </w:rPr>
            </w:pPr>
            <w:r>
              <w:rPr>
                <w:rFonts w:ascii="Arial Narrow" w:eastAsia="Arial Narrow" w:hAnsi="Arial Narrow" w:cs="Arial Narrow"/>
                <w:sz w:val="20"/>
                <w:szCs w:val="20"/>
              </w:rPr>
              <w:t>* The domains of training are described by the skill and knowledge provided by learning modules, as denoted by the Disciplinary (D), Interdisciplinary (I), or Transdisciplinary (T) nature of the curricular experience.</w:t>
            </w:r>
          </w:p>
        </w:tc>
      </w:tr>
    </w:tbl>
    <w:p w14:paraId="1B0B0FB6" w14:textId="77777777" w:rsidR="00410CD6" w:rsidRDefault="00410CD6">
      <w:pPr>
        <w:spacing w:line="240" w:lineRule="auto"/>
      </w:pPr>
    </w:p>
    <w:sectPr w:rsidR="00410CD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6A03"/>
    <w:multiLevelType w:val="multilevel"/>
    <w:tmpl w:val="6DF83CB6"/>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410CD6"/>
    <w:rsid w:val="00410CD6"/>
    <w:rsid w:val="00E0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6AE9F"/>
  <w15:docId w15:val="{461285FB-2F39-B741-99E6-ED383439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60" w:type="dxa"/>
        <w:left w:w="60" w:type="dxa"/>
        <w:bottom w:w="60" w:type="dxa"/>
        <w:right w:w="6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0437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43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0eM5RRftUdxuRXqlb9T4wDFoXJqgGq3Gcte59Cs0f4s/edit" TargetMode="Externa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Rodriguez, Luis F</cp:lastModifiedBy>
  <cp:revision>2</cp:revision>
  <dcterms:created xsi:type="dcterms:W3CDTF">2019-01-16T20:16:00Z</dcterms:created>
  <dcterms:modified xsi:type="dcterms:W3CDTF">2019-01-16T20:26:00Z</dcterms:modified>
</cp:coreProperties>
</file>